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70"/>
        <w:gridCol w:w="284"/>
        <w:gridCol w:w="5528"/>
      </w:tblGrid>
      <w:tr w:rsidR="0040567F" w:rsidRPr="00A35477" w14:paraId="11F9C44E" w14:textId="77777777" w:rsidTr="0050332A">
        <w:trPr>
          <w:trHeight w:val="1184"/>
          <w:jc w:val="center"/>
        </w:trPr>
        <w:tc>
          <w:tcPr>
            <w:tcW w:w="3970" w:type="dxa"/>
            <w:vMerge w:val="restart"/>
          </w:tcPr>
          <w:p w14:paraId="10C253CD" w14:textId="77777777" w:rsidR="0040567F" w:rsidRPr="00A35477" w:rsidRDefault="0040567F" w:rsidP="004D033D">
            <w:pPr>
              <w:rPr>
                <w:rFonts w:cs="Times New Roman"/>
                <w:sz w:val="20"/>
                <w:szCs w:val="20"/>
              </w:rPr>
            </w:pPr>
            <w:r w:rsidRPr="00A35477">
              <w:rPr>
                <w:rFonts w:cs="Times New Roman"/>
                <w:noProof/>
                <w:sz w:val="20"/>
                <w:szCs w:val="20"/>
              </w:rPr>
              <w:drawing>
                <wp:anchor distT="0" distB="0" distL="114300" distR="114300" simplePos="0" relativeHeight="251667456" behindDoc="0" locked="0" layoutInCell="1" allowOverlap="1" wp14:anchorId="1F763A3E" wp14:editId="7D3C7C55">
                  <wp:simplePos x="0" y="0"/>
                  <wp:positionH relativeFrom="column">
                    <wp:posOffset>0</wp:posOffset>
                  </wp:positionH>
                  <wp:positionV relativeFrom="margin">
                    <wp:posOffset>52070</wp:posOffset>
                  </wp:positionV>
                  <wp:extent cx="2349500" cy="2929890"/>
                  <wp:effectExtent l="19050" t="0" r="0" b="0"/>
                  <wp:wrapTight wrapText="bothSides">
                    <wp:wrapPolygon edited="0">
                      <wp:start x="-175" y="0"/>
                      <wp:lineTo x="-175" y="21488"/>
                      <wp:lineTo x="21542" y="21488"/>
                      <wp:lineTo x="21542" y="0"/>
                      <wp:lineTo x="-175" y="0"/>
                    </wp:wrapPolygon>
                  </wp:wrapTight>
                  <wp:docPr id="2"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66066eafe9649" cstate="print"/>
                          <a:srcRect/>
                          <a:stretch>
                            <a:fillRect/>
                          </a:stretch>
                        </pic:blipFill>
                        <pic:spPr bwMode="auto">
                          <a:xfrm>
                            <a:off x="0" y="0"/>
                            <a:ext cx="2349500" cy="2929890"/>
                          </a:xfrm>
                          <a:prstGeom prst="rect">
                            <a:avLst/>
                          </a:prstGeom>
                          <a:noFill/>
                          <a:ln w="9525">
                            <a:noFill/>
                            <a:miter lim="800000"/>
                            <a:headEnd/>
                            <a:tailEnd/>
                          </a:ln>
                        </pic:spPr>
                      </pic:pic>
                    </a:graphicData>
                  </a:graphic>
                </wp:anchor>
              </w:drawing>
            </w:r>
          </w:p>
        </w:tc>
        <w:tc>
          <w:tcPr>
            <w:tcW w:w="284" w:type="dxa"/>
          </w:tcPr>
          <w:p w14:paraId="0A15A921" w14:textId="77777777" w:rsidR="0040567F" w:rsidRPr="00A35477" w:rsidRDefault="0040567F">
            <w:pPr>
              <w:rPr>
                <w:rFonts w:cs="Times New Roman"/>
                <w:sz w:val="20"/>
                <w:szCs w:val="20"/>
              </w:rPr>
            </w:pPr>
          </w:p>
        </w:tc>
        <w:tc>
          <w:tcPr>
            <w:tcW w:w="5528" w:type="dxa"/>
          </w:tcPr>
          <w:p w14:paraId="7C061FAA" w14:textId="77777777" w:rsidR="0040567F" w:rsidRPr="0050332A" w:rsidRDefault="0040567F">
            <w:pPr>
              <w:rPr>
                <w:rFonts w:cs="Times New Roman"/>
                <w:b/>
                <w:sz w:val="44"/>
                <w:szCs w:val="44"/>
              </w:rPr>
            </w:pPr>
            <w:r w:rsidRPr="0050332A">
              <w:rPr>
                <w:rFonts w:cs="Times New Roman"/>
                <w:b/>
                <w:sz w:val="44"/>
                <w:szCs w:val="44"/>
              </w:rPr>
              <w:t xml:space="preserve">Hieronymus Bosch</w:t>
            </w:r>
          </w:p>
        </w:tc>
      </w:tr>
      <w:tr w:rsidR="0040567F" w:rsidRPr="00A35477" w14:paraId="7CD46A12" w14:textId="77777777" w:rsidTr="0040567F">
        <w:trPr>
          <w:trHeight w:val="1154"/>
          <w:jc w:val="center"/>
        </w:trPr>
        <w:tc>
          <w:tcPr>
            <w:tcW w:w="3970" w:type="dxa"/>
            <w:vMerge/>
          </w:tcPr>
          <w:p w14:paraId="35ECAE71" w14:textId="77777777" w:rsidR="0040567F" w:rsidRPr="00A35477" w:rsidRDefault="0040567F" w:rsidP="004D033D">
            <w:pPr>
              <w:rPr>
                <w:rFonts w:cs="Times New Roman"/>
                <w:sz w:val="20"/>
                <w:szCs w:val="20"/>
              </w:rPr>
            </w:pPr>
          </w:p>
        </w:tc>
        <w:tc>
          <w:tcPr>
            <w:tcW w:w="284" w:type="dxa"/>
            <w:vMerge w:val="restart"/>
          </w:tcPr>
          <w:p w14:paraId="53ECF12D" w14:textId="77777777" w:rsidR="0040567F" w:rsidRPr="00A35477" w:rsidRDefault="0040567F">
            <w:pPr>
              <w:rPr>
                <w:rFonts w:cs="Times New Roman"/>
                <w:sz w:val="20"/>
                <w:szCs w:val="20"/>
              </w:rPr>
            </w:pPr>
          </w:p>
        </w:tc>
        <w:tc>
          <w:tcPr>
            <w:tcW w:w="5528" w:type="dxa"/>
          </w:tcPr>
          <w:p w14:paraId="7EDD4FE5" w14:textId="77777777" w:rsidR="000B0568" w:rsidRDefault="008979B7" w:rsidP="00FC07E7">
            <w:pPr>
              <w:rPr>
                <w:rFonts w:cs="Times New Roman"/>
                <w:b/>
                <w:sz w:val="36"/>
                <w:szCs w:val="44"/>
              </w:rPr>
            </w:pPr>
            <w:r w:rsidRPr="009547D2">
              <w:rPr>
                <w:rFonts w:cs="Times New Roman"/>
                <w:b/>
                <w:sz w:val="36"/>
                <w:szCs w:val="44"/>
              </w:rPr>
              <w:t xml:space="preserve">Visions and Nightmares</w:t>
            </w:r>
          </w:p>
          <w:p w14:paraId="70E42E62" w14:textId="77777777" w:rsidR="00FC07E7" w:rsidRPr="00A35477" w:rsidRDefault="00FC07E7" w:rsidP="00F50B66">
            <w:pPr>
              <w:rPr>
                <w:rFonts w:cs="Times New Roman"/>
                <w:sz w:val="20"/>
                <w:szCs w:val="20"/>
              </w:rPr>
            </w:pPr>
          </w:p>
        </w:tc>
      </w:tr>
      <w:tr w:rsidR="0040567F" w:rsidRPr="00A35477" w14:paraId="791D1C7A" w14:textId="77777777" w:rsidTr="0050332A">
        <w:trPr>
          <w:trHeight w:val="1153"/>
          <w:jc w:val="center"/>
        </w:trPr>
        <w:tc>
          <w:tcPr>
            <w:tcW w:w="3970" w:type="dxa"/>
            <w:vMerge/>
          </w:tcPr>
          <w:p w14:paraId="7BF63A22" w14:textId="77777777" w:rsidR="0040567F" w:rsidRPr="00A35477" w:rsidRDefault="0040567F" w:rsidP="004D033D">
            <w:pPr>
              <w:rPr>
                <w:rFonts w:cs="Times New Roman"/>
                <w:sz w:val="20"/>
                <w:szCs w:val="20"/>
              </w:rPr>
            </w:pPr>
          </w:p>
        </w:tc>
        <w:tc>
          <w:tcPr>
            <w:tcW w:w="284" w:type="dxa"/>
            <w:vMerge/>
          </w:tcPr>
          <w:p w14:paraId="30212576" w14:textId="77777777" w:rsidR="0040567F" w:rsidRPr="00A35477" w:rsidRDefault="0040567F">
            <w:pPr>
              <w:rPr>
                <w:rFonts w:cs="Times New Roman"/>
                <w:sz w:val="20"/>
                <w:szCs w:val="20"/>
              </w:rPr>
            </w:pPr>
          </w:p>
        </w:tc>
        <w:tc>
          <w:tcPr>
            <w:tcW w:w="5528" w:type="dxa"/>
          </w:tcPr>
          <w:p w14:paraId="02A6E422" w14:textId="77777777" w:rsidR="0040567F" w:rsidRPr="00A35477" w:rsidRDefault="0040567F" w:rsidP="0040567F">
            <w:pPr>
              <w:rPr>
                <w:rFonts w:cs="Times New Roman"/>
                <w:sz w:val="32"/>
                <w:szCs w:val="20"/>
              </w:rPr>
            </w:pPr>
            <w:r w:rsidRPr="00A35477">
              <w:rPr>
                <w:rFonts w:cs="Times New Roman"/>
                <w:sz w:val="32"/>
                <w:szCs w:val="20"/>
              </w:rPr>
              <w:t xml:space="preserve">Nils Buettner</w:t>
            </w:r>
          </w:p>
          <w:p w14:paraId="578A8BAC" w14:textId="77777777" w:rsidR="0040567F" w:rsidRPr="00A35477" w:rsidRDefault="0040567F">
            <w:pPr>
              <w:rPr>
                <w:rFonts w:cs="Times New Roman"/>
                <w:sz w:val="32"/>
                <w:szCs w:val="20"/>
              </w:rPr>
            </w:pPr>
          </w:p>
        </w:tc>
      </w:tr>
      <w:tr w:rsidR="0040567F" w:rsidRPr="00A35477" w14:paraId="6303FAC6" w14:textId="77777777" w:rsidTr="0040567F">
        <w:trPr>
          <w:trHeight w:val="1660"/>
          <w:jc w:val="center"/>
        </w:trPr>
        <w:tc>
          <w:tcPr>
            <w:tcW w:w="3970" w:type="dxa"/>
            <w:vMerge/>
          </w:tcPr>
          <w:p w14:paraId="6CDA60BD" w14:textId="77777777" w:rsidR="0040567F" w:rsidRPr="00A35477" w:rsidRDefault="0040567F" w:rsidP="004D033D">
            <w:pPr>
              <w:rPr>
                <w:rFonts w:cs="Times New Roman"/>
                <w:sz w:val="20"/>
                <w:szCs w:val="20"/>
              </w:rPr>
            </w:pPr>
          </w:p>
        </w:tc>
        <w:tc>
          <w:tcPr>
            <w:tcW w:w="284" w:type="dxa"/>
          </w:tcPr>
          <w:p w14:paraId="10BE2C92" w14:textId="77777777" w:rsidR="0040567F" w:rsidRPr="00A35477" w:rsidRDefault="0040567F">
            <w:pPr>
              <w:rPr>
                <w:rFonts w:cs="Times New Roman"/>
                <w:sz w:val="20"/>
                <w:szCs w:val="20"/>
              </w:rPr>
            </w:pPr>
          </w:p>
        </w:tc>
        <w:tc>
          <w:tcPr>
            <w:tcW w:w="5528" w:type="dxa"/>
            <w:vMerge w:val="restart"/>
          </w:tcPr>
          <w:p w14:paraId="6AC0A4E5" w14:textId="77777777" w:rsidR="0040567F" w:rsidRPr="00F84AB1" w:rsidRDefault="0040567F">
            <w:pPr>
              <w:rPr>
                <w:rFonts w:cs="Times New Roman"/>
                <w:b/>
                <w:sz w:val="24"/>
                <w:szCs w:val="24"/>
              </w:rPr>
            </w:pPr>
            <w:r w:rsidRPr="00F84AB1">
              <w:rPr>
                <w:rFonts w:cs="Times New Roman"/>
                <w:b/>
                <w:sz w:val="24"/>
                <w:szCs w:val="24"/>
              </w:rPr>
              <w:t>Description</w:t>
            </w:r>
          </w:p>
          <w:p paraId="7B82C672" textId="77777777" w:rsidR="0040567F" w:rsidRPr="00F84AB1" w:rsidRDefault="0040567F">
            <w:pPr>
              <w:rPr>
                <w:rFonts w:cs="Times New Roman"/>
                <w:sz w:val="24"/>
                <w:szCs w:val="24"/>
              </w:rPr>
            </w:pPr>
            <w:r w:rsidRPr="00F84AB1">
              <w:rPr>
                <w:rFonts w:cs="Times New Roman"/>
                <w:sz w:val="24"/>
                <w:szCs w:val="24"/>
              </w:rPr>
              <w:t/>
            </w:r>
            <w:r>
              <w:rPr>
                <w:color w:val="000000"/>
                <w:sz w:val="24"/>
                <w:szCs w:val="24"/>
              </w:rPr>
              <w:t xml:space="preserve">In his lifetime Hieronymus Bosch was already famous for his fantastic painterly creations. Today his name has become synonymous with eerie and infernal images. Seeing Bosch's enigmatic paintings, the viewer is faced with riddles that result in numerous interpretations. Some have tried to explain the supposedly inexplicable symbolism by exploring the alchemical context or by suggesting that Bosch embraced secret pagan cults. With the utmost seriousness, it was debated whether he had belonged to the order of the Brethren and Sisters of the Free Spirit or the Adamites, a group that had been persecuted as heretical. Clues were sought in order to prove that he belonged to the Cathar faith and indulged in occult practices, free love or mysterious drugs and witches' salves. Some tried to understand his visual worlds through esoteric explanations, while others tried to decode them with the methods of abnormal psychology and psychoanalysis. For a painter of his time, Bosch's work and life is exceptionally well documented. Around 100 historical records from Bosch's lifetime are still extant, shedding light on his works, their commissions and his social position.In this book Nils Buttner traces the career of a painter who worked for the highest aristocratic and courtly circles, and explains Bosch's paintings against the background of contemporary culture and social reality. This fresh and insightful work on Bosch appears in the 500th anniversary of his death.</w:t>
            </w:r>
            <w:r>
              <w:t xml:space="preserve"/>
            </w:r>
          </w:p>
        </w:tc>
      </w:tr>
      <w:tr w:rsidR="00F84AB1" w:rsidRPr="00A35477" w14:paraId="7803075C" w14:textId="77777777" w:rsidTr="003B0D38">
        <w:trPr>
          <w:trHeight w:val="2833"/>
          <w:jc w:val="center"/>
        </w:trPr>
        <w:tc>
          <w:tcPr>
            <w:tcW w:w="4254" w:type="dxa"/>
            <w:gridSpan w:val="2"/>
          </w:tcPr>
          <w:p w14:paraId="2AB86568" w14:textId="77777777" w:rsidR="00F84AB1" w:rsidRPr="00F84AB1" w:rsidRDefault="00F84AB1">
            <w:pPr>
              <w:rPr>
                <w:rFonts w:cs="Times New Roman"/>
                <w:b/>
                <w:sz w:val="24"/>
                <w:szCs w:val="24"/>
              </w:rPr>
            </w:pPr>
            <w:r w:rsidRPr="00F84AB1">
              <w:rPr>
                <w:rFonts w:cs="Times New Roman"/>
                <w:b/>
                <w:sz w:val="24"/>
                <w:szCs w:val="24"/>
              </w:rPr>
              <w:t>Bibliographic Details</w:t>
            </w:r>
          </w:p>
          <w:p w14:paraId="7F171AB3"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Paperback / softback, </w:t>
            </w:r>
            <w:r w:rsidR="00B132D9" w:rsidRPr="00F84AB1">
              <w:rPr>
                <w:rFonts w:cs="Times New Roman"/>
                <w:sz w:val="24"/>
                <w:szCs w:val="24"/>
              </w:rPr>
              <w:t xml:space="preserve">GBP </w:t>
            </w:r>
            <w:r w:rsidRPr="00F84AB1">
              <w:rPr>
                <w:rFonts w:cs="Times New Roman"/>
                <w:sz w:val="24"/>
                <w:szCs w:val="24"/>
              </w:rPr>
              <w:t xml:space="preserve">17.95 </w:t>
            </w:r>
          </w:p>
          <w:p w14:paraId="34682FA7"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01 Jun 2016</w:t>
            </w:r>
          </w:p>
          <w:p w14:paraId="1BF8DF6E"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9781780235790</w:t>
            </w:r>
          </w:p>
          <w:p w14:paraId="35A0368F" w14:textId="77777777" w:rsidR="00F84AB1" w:rsidRPr="00F84AB1" w:rsidRDefault="00C76306" w:rsidP="00394D31">
            <w:pPr>
              <w:pStyle w:val="ListParagraph"/>
              <w:numPr>
                <w:ilvl w:val="0"/>
                <w:numId w:val="4"/>
              </w:numPr>
              <w:ind w:left="397"/>
              <w:rPr>
                <w:rFonts w:cs="Times New Roman"/>
                <w:sz w:val="24"/>
                <w:szCs w:val="24"/>
              </w:rPr>
            </w:pPr>
            <w:r>
              <w:rPr>
                <w:rFonts w:cs="Times New Roman"/>
                <w:sz w:val="24"/>
                <w:szCs w:val="24"/>
              </w:rPr>
              <w:t xml:space="preserve">160 pages</w:t>
            </w:r>
          </w:p>
          <w:p w14:paraId="5E59DD3F"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216 x 138mm</w:t>
            </w:r>
            <w:proofErr w:type="spellEnd"/>
          </w:p>
          <w:p w14:paraId="388996CC" w14:textId="77777777" w:rsidR="00F84AB1" w:rsidRPr="00F84AB1" w:rsidRDefault="00F84AB1" w:rsidP="00394D31">
            <w:pPr>
              <w:pStyle w:val="ListParagraph"/>
              <w:numPr>
                <w:ilvl w:val="0"/>
                <w:numId w:val="4"/>
              </w:numPr>
              <w:ind w:left="397"/>
              <w:rPr>
                <w:rFonts w:cs="Times New Roman"/>
                <w:sz w:val="24"/>
                <w:szCs w:val="24"/>
              </w:rPr>
            </w:pPr>
            <w:r w:rsidRPr="00F84AB1">
              <w:rPr>
                <w:rFonts w:cs="Times New Roman"/>
                <w:sz w:val="24"/>
                <w:szCs w:val="24"/>
              </w:rPr>
              <w:t xml:space="preserve">55 colour illustrations</w:t>
            </w:r>
          </w:p>
          <w:p w14:paraId="116AF2F1" w14:textId="77777777" w:rsidR="007A65C2" w:rsidRPr="007A65C2" w:rsidRDefault="00F84AB1" w:rsidP="007A65C2">
            <w:pPr>
              <w:pStyle w:val="ListParagraph"/>
              <w:numPr>
                <w:ilvl w:val="0"/>
                <w:numId w:val="4"/>
              </w:numPr>
              <w:ind w:left="397"/>
              <w:rPr>
                <w:rFonts w:cs="Times New Roman"/>
                <w:sz w:val="24"/>
                <w:szCs w:val="24"/>
              </w:rPr>
            </w:pPr>
            <w:r w:rsidRPr="00F84AB1">
              <w:rPr>
                <w:rFonts w:cs="Times New Roman"/>
                <w:sz w:val="24"/>
                <w:szCs w:val="24"/>
              </w:rPr>
              <w:t xml:space="preserve">BIOGRAPHY &amp; AUTOBIOGRAPHY / Artists, Architects, Photographers|BIOGRAPHY &amp; AUTOBIOGRAPHY / Artists, Architects, Photographers|ART / History / General</w:t>
            </w:r>
          </w:p>
          <w:p w14:paraId="4EF6D16E" w14:textId="77777777" w:rsidR="007A65C2" w:rsidRPr="007A65C2" w:rsidRDefault="007A65C2" w:rsidP="007A65C2">
            <w:pPr>
              <w:pStyle w:val="ListParagraph"/>
              <w:numPr>
                <w:ilvl w:val="0"/>
                <w:numId w:val="4"/>
              </w:numPr>
              <w:ind w:left="397"/>
              <w:rPr>
                <w:rFonts w:cs="Times New Roman"/>
                <w:sz w:val="24"/>
                <w:szCs w:val="24"/>
              </w:rPr>
            </w:pPr>
            <w:r w:rsidRPr="00F84AB1">
              <w:rPr>
                <w:rFonts w:cs="Times New Roman"/>
                <w:sz w:val="24"/>
                <w:szCs w:val="24"/>
              </w:rPr>
              <w:t xml:space="preserve">Reaktion Books</w:t>
            </w:r>
          </w:p>
          <w:p w14:paraId="6DCD468B" w14:textId="77777777" w:rsidR="00F84AB1" w:rsidRPr="00A35477" w:rsidRDefault="00F84AB1">
            <w:pPr>
              <w:rPr>
                <w:rFonts w:cs="Times New Roman"/>
                <w:sz w:val="20"/>
                <w:szCs w:val="20"/>
              </w:rPr>
            </w:pPr>
          </w:p>
        </w:tc>
        <w:tc>
          <w:tcPr>
            <w:tcW w:w="5528" w:type="dxa"/>
            <w:vMerge/>
          </w:tcPr>
          <w:p w14:paraId="77183DAD" w14:textId="77777777" w:rsidR="00F84AB1" w:rsidRPr="00A35477" w:rsidRDefault="00F84AB1">
            <w:pPr>
              <w:rPr>
                <w:rFonts w:cs="Times New Roman"/>
                <w:sz w:val="20"/>
                <w:szCs w:val="20"/>
              </w:rPr>
            </w:pPr>
          </w:p>
        </w:tc>
      </w:tr>
      <w:tr w:rsidR="00F84AB1" w:rsidRPr="00A35477" w14:paraId="5F20174D" w14:textId="77777777" w:rsidTr="0055551F">
        <w:trPr>
          <w:trHeight w:val="4423"/>
          <w:jc w:val="center"/>
        </w:trPr>
        <w:tc>
          <w:tcPr>
            <w:tcW w:w="4254" w:type="dxa"/>
            <w:gridSpan w:val="2"/>
          </w:tcPr>
          <w:p w14:paraId="1E554375" w14:textId="77777777" w:rsidR="00F84AB1" w:rsidRPr="00F84AB1" w:rsidRDefault="00F84AB1">
            <w:pPr>
              <w:rPr>
                <w:rFonts w:cs="Times New Roman"/>
                <w:b/>
                <w:sz w:val="24"/>
                <w:szCs w:val="24"/>
              </w:rPr>
            </w:pPr>
            <w:r w:rsidRPr="00F84AB1">
              <w:rPr>
                <w:rFonts w:cs="Times New Roman"/>
                <w:b/>
                <w:sz w:val="24"/>
                <w:szCs w:val="24"/>
              </w:rPr>
              <w:t>About the Authors</w:t>
            </w:r>
          </w:p>
          <w:p paraId="4809B3DF" textId="77777777" w:rsidR="00F84AB1" w:rsidRPr="00F84AB1" w:rsidRDefault="00F84AB1">
            <w:pPr>
              <w:rPr>
                <w:rFonts w:cs="Times New Roman"/>
                <w:sz w:val="24"/>
                <w:szCs w:val="24"/>
              </w:rPr>
            </w:pPr>
            <w:r w:rsidRPr="00F84AB1">
              <w:rPr>
                <w:rFonts w:cs="Times New Roman"/>
                <w:sz w:val="24"/>
                <w:szCs w:val="24"/>
              </w:rPr>
              <w:t/>
            </w:r>
            <w:r>
              <w:rPr>
                <w:color w:val="000000"/>
                <w:sz w:val="24"/>
                <w:szCs w:val="24"/>
              </w:rPr>
              <w:t xml:space="preserve">Nils Buttner is Professor of Art History at the State Academy of Art and Design, Stuttgart. His previous publications include Landscape Painting: A History (2006), The History of Gardens in Painting (2008) and Otto Dix and New Objectivity (2013).</w:t>
            </w:r>
            <w:r>
              <w:t xml:space="preserve"/>
            </w:r>
          </w:p>
        </w:tc>
        <w:tc>
          <w:tcPr>
            <w:tcW w:w="5528" w:type="dxa"/>
            <w:vMerge/>
          </w:tcPr>
          <w:p w14:paraId="0CF99D9C" w14:textId="3346CFCA" w:rsidR="00F84AB1" w:rsidRPr="00A35477" w:rsidRDefault="00F84AB1">
            <w:pPr>
              <w:rPr>
                <w:rFonts w:cs="Times New Roman"/>
                <w:sz w:val="20"/>
                <w:szCs w:val="20"/>
              </w:rPr>
            </w:pPr>
          </w:p>
        </w:tc>
      </w:tr>
    </w:tbl>
    <w:p w14:paraId="6D2AD690" w14:textId="77777777" w:rsidR="00DA24AB" w:rsidRPr="00A35477" w:rsidRDefault="00DA24AB" w:rsidP="0050332A">
      <w:pPr>
        <w:rPr>
          <w:rFonts w:cs="Times New Roman"/>
          <w:sz w:val="20"/>
          <w:szCs w:val="20"/>
        </w:rPr>
      </w:pPr>
    </w:p>
    <w:sectPr w:rsidR="00DA24AB" w:rsidRPr="00A35477" w:rsidSect="0050332A">
      <w:headerReference w:type="default" r:id="rId8"/>
      <w:footerReference w:type="default" r:id="rId9"/>
      <w:pgSz w:w="11906" w:h="16838"/>
      <w:pgMar w:top="720" w:right="720" w:bottom="720" w:left="720" w:header="34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B73D" w14:textId="77777777" w:rsidR="0062716E" w:rsidRDefault="0062716E" w:rsidP="004D033D">
      <w:pPr>
        <w:spacing w:after="0" w:line="240" w:lineRule="auto"/>
      </w:pPr>
      <w:r>
        <w:separator/>
      </w:r>
    </w:p>
  </w:endnote>
  <w:endnote w:type="continuationSeparator" w:id="0">
    <w:p w14:paraId="70D2559D" w14:textId="77777777" w:rsidR="0062716E" w:rsidRDefault="0062716E" w:rsidP="004D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EEBF" w14:textId="77777777" w:rsidR="004D033D" w:rsidRDefault="004D033D">
    <w:pPr>
      <w:pStyle w:val="Footer"/>
    </w:pPr>
    <w:r w:rsidRPr="004D033D">
      <w:rPr>
        <w:noProof/>
      </w:rPr>
      <w:drawing>
        <wp:anchor distT="0" distB="0" distL="114300" distR="114300" simplePos="0" relativeHeight="251659264" behindDoc="0" locked="0" layoutInCell="1" allowOverlap="1" wp14:anchorId="545B1074" wp14:editId="44930DC7">
          <wp:simplePos x="0" y="0"/>
          <wp:positionH relativeFrom="column">
            <wp:posOffset>-127000</wp:posOffset>
          </wp:positionH>
          <wp:positionV relativeFrom="page">
            <wp:posOffset>9490075</wp:posOffset>
          </wp:positionV>
          <wp:extent cx="6852285" cy="977900"/>
          <wp:effectExtent l="0" t="0" r="5715" b="0"/>
          <wp:wrapTight wrapText="bothSides">
            <wp:wrapPolygon edited="0">
              <wp:start x="0" y="0"/>
              <wp:lineTo x="0" y="21039"/>
              <wp:lineTo x="21558" y="21039"/>
              <wp:lineTo x="21558" y="0"/>
              <wp:lineTo x="0" y="0"/>
            </wp:wrapPolygon>
          </wp:wrapTight>
          <wp:docPr id="1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2285" cy="97790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852F" w14:textId="77777777" w:rsidR="0062716E" w:rsidRDefault="0062716E" w:rsidP="004D033D">
      <w:pPr>
        <w:spacing w:after="0" w:line="240" w:lineRule="auto"/>
      </w:pPr>
      <w:r>
        <w:separator/>
      </w:r>
    </w:p>
  </w:footnote>
  <w:footnote w:type="continuationSeparator" w:id="0">
    <w:p w14:paraId="6069D1E3" w14:textId="77777777" w:rsidR="0062716E" w:rsidRDefault="0062716E" w:rsidP="004D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DF26" w14:textId="77777777" w:rsidR="004D033D" w:rsidRDefault="004D033D">
    <w:pPr>
      <w:pStyle w:val="Header"/>
    </w:pPr>
    <w:r w:rsidRPr="004D033D">
      <w:rPr>
        <w:noProof/>
      </w:rPr>
      <w:drawing>
        <wp:inline distT="0" distB="0" distL="0" distR="0" wp14:anchorId="45848AA0" wp14:editId="08C6F96A">
          <wp:extent cx="6654188" cy="925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LAISheetHeaderRevis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54188" cy="9254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56480407">
    <w:multiLevelType w:val="hybridMultilevel"/>
    <w:lvl w:ilvl="0" w:tplc="50050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239806">
    <w:multiLevelType w:val="hybridMultilevel"/>
    <w:lvl w:ilvl="0" w:tplc="23216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63598D"/>
    <w:multiLevelType w:val="hybridMultilevel"/>
    <w:tmpl w:val="7936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348CF"/>
    <w:multiLevelType w:val="hybridMultilevel"/>
    <w:tmpl w:val="C5E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C4316"/>
    <w:multiLevelType w:val="hybridMultilevel"/>
    <w:tmpl w:val="D88024B0"/>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A172C"/>
    <w:multiLevelType w:val="hybridMultilevel"/>
    <w:tmpl w:val="30A48F0E"/>
    <w:lvl w:ilvl="0" w:tplc="D8FA69E2">
      <w:start w:val="1"/>
      <w:numFmt w:val="bullet"/>
      <w:lvlText w:val=""/>
      <w:lvlJc w:val="left"/>
      <w:pPr>
        <w:ind w:left="720" w:hanging="360"/>
      </w:pPr>
      <w:rPr>
        <w:rFonts w:ascii="Wingdings 2" w:hAnsi="Wingdings 2" w:hint="default"/>
        <w:color w:val="9FD5F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29239806">
    <w:abstractNumId w:val="29239806"/>
  </w:num>
  <w:num w:numId="56480407">
    <w:abstractNumId w:val="564804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3D"/>
    <w:rsid w:val="00054FB0"/>
    <w:rsid w:val="00081D8A"/>
    <w:rsid w:val="000B0568"/>
    <w:rsid w:val="00164EEA"/>
    <w:rsid w:val="001A60F8"/>
    <w:rsid w:val="001D4705"/>
    <w:rsid w:val="002C2D50"/>
    <w:rsid w:val="002D78E5"/>
    <w:rsid w:val="002D7B11"/>
    <w:rsid w:val="003537D1"/>
    <w:rsid w:val="00383F00"/>
    <w:rsid w:val="0039479B"/>
    <w:rsid w:val="00394D31"/>
    <w:rsid w:val="003A303E"/>
    <w:rsid w:val="003F4714"/>
    <w:rsid w:val="0040567F"/>
    <w:rsid w:val="004D033D"/>
    <w:rsid w:val="0050332A"/>
    <w:rsid w:val="0055551F"/>
    <w:rsid w:val="00566138"/>
    <w:rsid w:val="005D250B"/>
    <w:rsid w:val="0062716E"/>
    <w:rsid w:val="00661477"/>
    <w:rsid w:val="006D4175"/>
    <w:rsid w:val="007540E0"/>
    <w:rsid w:val="007A65C2"/>
    <w:rsid w:val="007F49C3"/>
    <w:rsid w:val="007F7B46"/>
    <w:rsid w:val="00813AAA"/>
    <w:rsid w:val="008947EE"/>
    <w:rsid w:val="008979B7"/>
    <w:rsid w:val="008B0D7D"/>
    <w:rsid w:val="008B26BC"/>
    <w:rsid w:val="008C73FF"/>
    <w:rsid w:val="008E33A7"/>
    <w:rsid w:val="009547D2"/>
    <w:rsid w:val="009D2825"/>
    <w:rsid w:val="009D2B84"/>
    <w:rsid w:val="00A35477"/>
    <w:rsid w:val="00B132D9"/>
    <w:rsid w:val="00B16756"/>
    <w:rsid w:val="00B77E27"/>
    <w:rsid w:val="00B80619"/>
    <w:rsid w:val="00B962FF"/>
    <w:rsid w:val="00C307FC"/>
    <w:rsid w:val="00C76306"/>
    <w:rsid w:val="00D018FB"/>
    <w:rsid w:val="00DA24AB"/>
    <w:rsid w:val="00DB5683"/>
    <w:rsid w:val="00DD25F4"/>
    <w:rsid w:val="00E3721B"/>
    <w:rsid w:val="00F26C31"/>
    <w:rsid w:val="00F50B66"/>
    <w:rsid w:val="00F569D8"/>
    <w:rsid w:val="00F84AB1"/>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3152"/>
  <w15:docId w15:val="{3D8F9FF0-BA4C-4B3F-AA80-F2A9EC25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D"/>
    <w:rPr>
      <w:rFonts w:ascii="Tahoma" w:hAnsi="Tahoma" w:cs="Tahoma"/>
      <w:sz w:val="16"/>
      <w:szCs w:val="16"/>
    </w:rPr>
  </w:style>
  <w:style w:type="table" w:styleId="TableGrid">
    <w:name w:val="Table Grid"/>
    <w:basedOn w:val="TableNormal"/>
    <w:uiPriority w:val="59"/>
    <w:rsid w:val="004D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3D"/>
  </w:style>
  <w:style w:type="paragraph" w:styleId="Footer">
    <w:name w:val="footer"/>
    <w:basedOn w:val="Normal"/>
    <w:link w:val="FooterChar"/>
    <w:uiPriority w:val="99"/>
    <w:unhideWhenUsed/>
    <w:rsid w:val="004D0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3D"/>
  </w:style>
  <w:style w:type="paragraph" w:styleId="ListParagraph">
    <w:name w:val="List Paragraph"/>
    <w:basedOn w:val="Normal"/>
    <w:uiPriority w:val="34"/>
    <w:qFormat/>
    <w:rsid w:val="00394D31"/>
    <w:pPr>
      <w:ind w:left="720"/>
      <w:contextualSpacing/>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66066eafe9649" Type="http://schemas.openxmlformats.org/officeDocument/2006/relationships/image" Target="media/753184fc654122235b8881de61589024.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McIntosh</cp:lastModifiedBy>
  <cp:revision>5</cp:revision>
  <cp:lastPrinted>2015-06-09T12:29:00Z</cp:lastPrinted>
  <dcterms:created xsi:type="dcterms:W3CDTF">2018-07-05T12:27:00Z</dcterms:created>
  <dcterms:modified xsi:type="dcterms:W3CDTF">2018-07-16T13:23:00Z</dcterms:modified>
</cp:coreProperties>
</file>